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</w:pBdr>
        <w:ind w:left="-142" w:right="0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page">
                  <wp:posOffset>663575</wp:posOffset>
                </wp:positionH>
                <wp:positionV relativeFrom="paragraph">
                  <wp:posOffset>80645</wp:posOffset>
                </wp:positionV>
                <wp:extent cx="6549390" cy="1348105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390" cy="134810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0314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3"/>
                              <w:gridCol w:w="90"/>
                              <w:gridCol w:w="160"/>
                              <w:gridCol w:w="115"/>
                              <w:gridCol w:w="134"/>
                              <w:gridCol w:w="141"/>
                              <w:gridCol w:w="110"/>
                              <w:gridCol w:w="228"/>
                              <w:gridCol w:w="274"/>
                              <w:gridCol w:w="243"/>
                              <w:gridCol w:w="33"/>
                              <w:gridCol w:w="217"/>
                              <w:gridCol w:w="59"/>
                              <w:gridCol w:w="193"/>
                              <w:gridCol w:w="80"/>
                              <w:gridCol w:w="168"/>
                              <w:gridCol w:w="109"/>
                              <w:gridCol w:w="143"/>
                              <w:gridCol w:w="100"/>
                              <w:gridCol w:w="406"/>
                              <w:gridCol w:w="407"/>
                              <w:gridCol w:w="213"/>
                              <w:gridCol w:w="23"/>
                              <w:gridCol w:w="189"/>
                              <w:gridCol w:w="64"/>
                              <w:gridCol w:w="219"/>
                              <w:gridCol w:w="56"/>
                              <w:gridCol w:w="88"/>
                              <w:gridCol w:w="281"/>
                              <w:gridCol w:w="144"/>
                              <w:gridCol w:w="281"/>
                              <w:gridCol w:w="142"/>
                              <w:gridCol w:w="183"/>
                              <w:gridCol w:w="102"/>
                              <w:gridCol w:w="425"/>
                              <w:gridCol w:w="426"/>
                              <w:gridCol w:w="425"/>
                              <w:gridCol w:w="426"/>
                              <w:gridCol w:w="426"/>
                              <w:gridCol w:w="425"/>
                              <w:gridCol w:w="425"/>
                              <w:gridCol w:w="426"/>
                              <w:gridCol w:w="425"/>
                              <w:gridCol w:w="426"/>
                              <w:gridCol w:w="421"/>
                            </w:tblGrid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33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3" w:type="dxa"/>
                                  <w:gridSpan w:val="2"/>
                                  <w:tcBorders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3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gridSpan w:val="4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3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2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7" w:hRule="atLeast"/>
                                <w:cantSplit w:val="true"/>
                              </w:trPr>
                              <w:tc>
                                <w:tcPr>
                                  <w:tcW w:w="33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gridSpan w:val="3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2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24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lef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gridSpan w:val="3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3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gridSpan w:val="3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9" w:hRule="atLeast"/>
                              </w:trPr>
                              <w:tc>
                                <w:tcPr>
                                  <w:tcW w:w="243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9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gridSpan w:val="3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3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gridSpan w:val="3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9" w:hRule="atLeast"/>
                                <w:cantSplit w:val="true"/>
                              </w:trPr>
                              <w:tc>
                                <w:tcPr>
                                  <w:tcW w:w="243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Вид.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раб.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  <w:gridSpan w:val="13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25" w:type="dxa"/>
                                  <w:gridSpan w:val="22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15.7pt;height:106.15pt;mso-wrap-distance-left:9pt;mso-wrap-distance-right:9pt;mso-wrap-distance-top:0pt;mso-wrap-distance-bottom:0pt;margin-top:6.35pt;mso-position-vertical-relative:text;margin-left:52.25pt;mso-position-horizontal-relative:page">
                <v:textbox inset="0in,0in,0in,0in">
                  <w:txbxContent>
                    <w:tbl>
                      <w:tblPr>
                        <w:tblW w:w="10314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3"/>
                        <w:gridCol w:w="90"/>
                        <w:gridCol w:w="160"/>
                        <w:gridCol w:w="115"/>
                        <w:gridCol w:w="134"/>
                        <w:gridCol w:w="141"/>
                        <w:gridCol w:w="110"/>
                        <w:gridCol w:w="228"/>
                        <w:gridCol w:w="274"/>
                        <w:gridCol w:w="243"/>
                        <w:gridCol w:w="33"/>
                        <w:gridCol w:w="217"/>
                        <w:gridCol w:w="59"/>
                        <w:gridCol w:w="193"/>
                        <w:gridCol w:w="80"/>
                        <w:gridCol w:w="168"/>
                        <w:gridCol w:w="109"/>
                        <w:gridCol w:w="143"/>
                        <w:gridCol w:w="100"/>
                        <w:gridCol w:w="406"/>
                        <w:gridCol w:w="407"/>
                        <w:gridCol w:w="213"/>
                        <w:gridCol w:w="23"/>
                        <w:gridCol w:w="189"/>
                        <w:gridCol w:w="64"/>
                        <w:gridCol w:w="219"/>
                        <w:gridCol w:w="56"/>
                        <w:gridCol w:w="88"/>
                        <w:gridCol w:w="281"/>
                        <w:gridCol w:w="144"/>
                        <w:gridCol w:w="281"/>
                        <w:gridCol w:w="142"/>
                        <w:gridCol w:w="183"/>
                        <w:gridCol w:w="102"/>
                        <w:gridCol w:w="425"/>
                        <w:gridCol w:w="426"/>
                        <w:gridCol w:w="425"/>
                        <w:gridCol w:w="426"/>
                        <w:gridCol w:w="426"/>
                        <w:gridCol w:w="425"/>
                        <w:gridCol w:w="425"/>
                        <w:gridCol w:w="426"/>
                        <w:gridCol w:w="425"/>
                        <w:gridCol w:w="426"/>
                        <w:gridCol w:w="421"/>
                      </w:tblGrid>
                      <w:tr>
                        <w:trPr>
                          <w:trHeight w:val="280" w:hRule="atLeast"/>
                        </w:trPr>
                        <w:tc>
                          <w:tcPr>
                            <w:tcW w:w="333" w:type="dxa"/>
                            <w:gridSpan w:val="2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275" w:type="dxa"/>
                            <w:gridSpan w:val="2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275" w:type="dxa"/>
                            <w:gridSpan w:val="2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338" w:type="dxa"/>
                            <w:gridSpan w:val="2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276" w:type="dxa"/>
                            <w:gridSpan w:val="2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276" w:type="dxa"/>
                            <w:gridSpan w:val="2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273" w:type="dxa"/>
                            <w:gridSpan w:val="2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277" w:type="dxa"/>
                            <w:gridSpan w:val="2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243" w:type="dxa"/>
                            <w:gridSpan w:val="2"/>
                            <w:tcBorders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425" w:type="dxa"/>
                            <w:gridSpan w:val="3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427" w:type="dxa"/>
                            <w:gridSpan w:val="4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183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2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2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2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2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2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2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2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2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2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2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2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21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527" w:hRule="atLeast"/>
                          <w:cantSplit w:val="true"/>
                        </w:trPr>
                        <w:tc>
                          <w:tcPr>
                            <w:tcW w:w="333" w:type="dxa"/>
                            <w:gridSpan w:val="2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275" w:type="dxa"/>
                            <w:gridSpan w:val="2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275" w:type="dxa"/>
                            <w:gridSpan w:val="2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338" w:type="dxa"/>
                            <w:gridSpan w:val="2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276" w:type="dxa"/>
                            <w:gridSpan w:val="2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276" w:type="dxa"/>
                            <w:gridSpan w:val="2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273" w:type="dxa"/>
                            <w:gridSpan w:val="2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277" w:type="dxa"/>
                            <w:gridSpan w:val="2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243" w:type="dxa"/>
                            <w:gridSpan w:val="2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1026" w:type="dxa"/>
                            <w:gridSpan w:val="3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276" w:type="dxa"/>
                            <w:gridSpan w:val="3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275" w:type="dxa"/>
                            <w:gridSpan w:val="2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1119" w:type="dxa"/>
                            <w:gridSpan w:val="6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102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2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2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2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2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2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2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2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2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2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2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21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243" w:type="dxa"/>
                            <w:tcBorders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250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249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251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243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0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2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8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2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6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left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472" w:type="dxa"/>
                            <w:gridSpan w:val="3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3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7" w:type="dxa"/>
                            <w:gridSpan w:val="3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319" w:hRule="atLeast"/>
                        </w:trPr>
                        <w:tc>
                          <w:tcPr>
                            <w:tcW w:w="243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250" w:type="dxa"/>
                            <w:gridSpan w:val="2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9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1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0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2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48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2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6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472" w:type="dxa"/>
                            <w:gridSpan w:val="3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3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7" w:type="dxa"/>
                            <w:gridSpan w:val="3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26</w:t>
                            </w:r>
                          </w:p>
                        </w:tc>
                      </w:tr>
                      <w:tr>
                        <w:trPr>
                          <w:trHeight w:val="559" w:hRule="atLeast"/>
                          <w:cantSplit w:val="true"/>
                        </w:trPr>
                        <w:tc>
                          <w:tcPr>
                            <w:tcW w:w="243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750" w:type="dxa"/>
                            <w:gridSpan w:val="6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Вид.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раб.</w:t>
                            </w:r>
                          </w:p>
                        </w:tc>
                        <w:tc>
                          <w:tcPr>
                            <w:tcW w:w="228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2432" w:type="dxa"/>
                            <w:gridSpan w:val="13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Идентификационен број</w:t>
                            </w: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r>
                          </w:p>
                        </w:tc>
                        <w:tc>
                          <w:tcPr>
                            <w:tcW w:w="6425" w:type="dxa"/>
                            <w:gridSpan w:val="22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snapToGrid w:val="false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right="0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/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4"/>
          <w:szCs w:val="24"/>
          <w:u w:val="single"/>
        </w:rPr>
        <w:t>Општина Струмица</w:t>
      </w:r>
      <w:r>
        <w:rPr>
          <w:rFonts w:ascii="Arial Narrow" w:hAnsi="Arial Narrow"/>
          <w:sz w:val="22"/>
          <w:szCs w:val="22"/>
          <w:lang w:val="mk-MK"/>
        </w:rPr>
        <w:tab/>
        <w:tab/>
        <w:tab/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/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 Струмица, 076 483 316</w:t>
      </w:r>
    </w:p>
    <w:p>
      <w:pPr>
        <w:pStyle w:val="Normal"/>
        <w:rPr/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  <w:r>
        <w:rPr>
          <w:rFonts w:ascii="Arial Narrow" w:hAnsi="Arial Narrow"/>
          <w:sz w:val="22"/>
          <w:szCs w:val="22"/>
        </w:rPr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        </w:t>
      </w:r>
      <w:r>
        <w:rPr>
          <w:rFonts w:ascii="Arial Narrow" w:hAnsi="Arial Narrow"/>
          <w:b/>
          <w:sz w:val="22"/>
          <w:szCs w:val="22"/>
        </w:rPr>
        <w:tab/>
        <w:tab/>
        <w:tab/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на ден</w:t>
      </w:r>
      <w:r>
        <w:rPr>
          <w:rFonts w:ascii="Arial Narrow" w:hAnsi="Arial Narrow"/>
          <w:b/>
          <w:sz w:val="22"/>
          <w:szCs w:val="22"/>
          <w:u w:val="single"/>
        </w:rPr>
        <w:t xml:space="preserve"> 31.12.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2020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година</w:t>
      </w:r>
    </w:p>
    <w:p>
      <w:pPr>
        <w:pStyle w:val="Normal"/>
        <w:tabs>
          <w:tab w:val="clear" w:pos="720"/>
          <w:tab w:val="left" w:pos="4678" w:leader="none"/>
        </w:tabs>
        <w:rPr/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</w:rPr>
        <w:t xml:space="preserve">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Квалитетни услови за среќни деца 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right="0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13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48"/>
        <w:gridCol w:w="1135"/>
        <w:gridCol w:w="4677"/>
        <w:gridCol w:w="852"/>
        <w:gridCol w:w="1559"/>
        <w:gridCol w:w="283"/>
        <w:gridCol w:w="1722"/>
        <w:gridCol w:w="122"/>
        <w:gridCol w:w="1990"/>
        <w:gridCol w:w="1700"/>
      </w:tblGrid>
      <w:tr>
        <w:trPr>
          <w:trHeight w:val="314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fill="FFFFFF" w:val="clear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fill="FFFFFF" w:val="clear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fill="FFFFFF" w:val="clear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ind w:left="1066" w:right="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fill="FFFFFF" w:val="clear"/>
              <w:ind w:left="1066" w:right="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fill="FFFFFF" w:val="clea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fill="FFFFFF" w:val="clear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ind w:left="91" w:right="0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fill="FFFFFF" w:val="clear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fill="FFFFFF" w:val="clear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fill="FFFFFF" w:val="clear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ind w:left="1066" w:right="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fill="FFFFFF" w:val="clear"/>
              <w:ind w:left="1066" w:right="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fill="FFFFFF" w:val="clea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fill="FFFFFF" w:val="clear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ind w:left="91" w:right="0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ind w:left="86" w:right="0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M_Times" w:hAnsi="M_Times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M_Times" w:hAnsi="M_Times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M_Times" w:hAnsi="M_Times"/>
                <w:b/>
                <w:color w:val="000000"/>
                <w:sz w:val="28"/>
                <w:szCs w:val="28"/>
              </w:rPr>
              <w:t>2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fill="FFFFFF" w:val="clear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fill="FFFFFF" w:val="clear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fill="FFFFFF" w:val="clear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ind w:left="1066" w:right="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fill="FFFFFF" w:val="clear"/>
              <w:ind w:left="1066" w:right="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fill="FFFFFF" w:val="clea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fill="FFFFFF" w:val="clear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ind w:left="91" w:right="0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M_Times" w:hAnsi="M_Times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M_Times" w:hAnsi="M_Times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M_Times" w:hAnsi="M_Times"/>
                <w:b/>
                <w:color w:val="000000"/>
                <w:sz w:val="28"/>
                <w:szCs w:val="28"/>
              </w:rPr>
              <w:t>2</w:t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fill="FFFFFF" w:val="clear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fill="FFFFFF" w:val="clear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fill="FFFFFF" w:val="clear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ind w:left="1066" w:right="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fill="FFFFFF" w:val="clear"/>
              <w:ind w:left="1066" w:right="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fill="FFFFFF" w:val="clea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fill="FFFFFF" w:val="clear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ind w:left="91" w:right="0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M_Times" w:hAnsi="M_Times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M_Times" w:hAnsi="M_Times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M_Times" w:hAnsi="M_Times"/>
                <w:b/>
                <w:color w:val="000000"/>
                <w:sz w:val="28"/>
                <w:szCs w:val="28"/>
              </w:rPr>
              <w:t>2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>
              <w:top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ind w:left="1066" w:right="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6" w:type="dxa"/>
            <w:gridSpan w:val="6"/>
            <w:tcBorders>
              <w:top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ind w:left="1066" w:right="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6" w:type="dxa"/>
            <w:gridSpan w:val="6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ind w:left="1066" w:right="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6" w:type="dxa"/>
            <w:gridSpan w:val="6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ind w:left="1066" w:right="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6" w:type="dxa"/>
            <w:gridSpan w:val="6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ind w:left="1066" w:right="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fill="FFFFFF" w:val="clear"/>
              <w:snapToGrid w:val="false"/>
              <w:ind w:left="1066" w:right="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fill="FFFFFF" w:val="clear"/>
              <w:snapToGrid w:val="false"/>
              <w:ind w:left="1066" w:right="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6" w:type="dxa"/>
            <w:gridSpan w:val="6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fill="FFFFFF" w:val="clear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ind w:left="1066" w:right="0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fill="FFFFFF" w:val="clear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ind w:left="91" w:right="0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M_Times" w:hAnsi="M_Times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M_Times" w:hAnsi="M_Times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fill="FFFFFF" w:val="clear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ind w:left="1066" w:right="0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fill="FFFFFF" w:val="clear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ind w:left="91" w:right="0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M_Times" w:hAnsi="M_Times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M_Times" w:hAnsi="M_Times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M_Times" w:hAnsi="M_Times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M_Times" w:hAnsi="M_Times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fill="FFFFFF" w:val="clear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ind w:left="1066" w:right="0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fill="FFFFFF" w:val="clear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ind w:left="91" w:right="0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ind w:left="86" w:right="0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ind w:left="86" w:right="0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ind w:left="86" w:right="0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M_Times" w:hAnsi="M_Times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M_Times" w:hAnsi="M_Times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hd w:fill="FFFFFF" w:val="clear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>
          <w:lang w:val="mk-MK"/>
        </w:rPr>
      </w:pPr>
      <w:r>
        <w:rPr>
          <w:lang w:val="mk-MK"/>
        </w:rPr>
      </w:r>
    </w:p>
    <w:p>
      <w:pPr>
        <w:pStyle w:val="Normal"/>
        <w:spacing w:before="0" w:after="62"/>
        <w:rPr/>
      </w:pPr>
      <w:r>
        <w:rPr/>
        <w:t xml:space="preserve"> </w:t>
      </w:r>
    </w:p>
    <w:p>
      <w:pPr>
        <w:pStyle w:val="Normal"/>
        <w:spacing w:before="10" w:after="0"/>
        <w:rPr/>
      </w:pPr>
      <w:r>
        <w:rPr>
          <w:rFonts w:ascii="Arial Narrow" w:hAnsi="Arial Narrow"/>
          <w:color w:val="000000"/>
          <w:sz w:val="22"/>
          <w:szCs w:val="22"/>
        </w:rPr>
        <w:t xml:space="preserve">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 xml:space="preserve">        </w:t>
      </w:r>
      <w:r>
        <w:rPr>
          <w:rFonts w:ascii="Arial Narrow" w:hAnsi="Arial Narrow"/>
          <w:color w:val="000000"/>
          <w:sz w:val="22"/>
          <w:szCs w:val="22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Лице одговорно за составување на билансот                М.П.</w:t>
        <w:tab/>
        <w:tab/>
        <w:t xml:space="preserve">      Раководител</w:t>
        <w:tab/>
      </w:r>
    </w:p>
    <w:p>
      <w:pPr>
        <w:pStyle w:val="Normal"/>
        <w:spacing w:before="211" w:after="0"/>
        <w:rPr/>
      </w:pPr>
      <w:r>
        <w:rPr>
          <w:rFonts w:ascii="Arial Narrow" w:hAnsi="Arial Narrow"/>
          <w:i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i/>
          <w:color w:val="000000"/>
          <w:sz w:val="22"/>
          <w:szCs w:val="22"/>
        </w:rPr>
        <w:t xml:space="preserve"> 26.02.2021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г.</w:t>
        <w:tab/>
        <w:t xml:space="preserve"> </w:t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 xml:space="preserve"> </w:t>
        <w:tab/>
        <w:tab/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/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ans">
    <w:charset w:val="cc"/>
    <w:family w:val="roman"/>
    <w:pitch w:val="variable"/>
  </w:font>
  <w:font w:name="M_Time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>
    <w:name w:val="Default Paragraph Font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>
    <w:name w:val="WW-Absatz-Standardschriftart11"/>
    <w:qFormat/>
    <w:rPr/>
  </w:style>
  <w:style w:type="character" w:styleId="RTFNum2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>
    <w:name w:val="Heading 11"/>
    <w:basedOn w:val="Normal"/>
    <w:next w:val="Normal"/>
    <w:qFormat/>
    <w:pPr>
      <w:keepNext w:val="true"/>
      <w:numPr>
        <w:ilvl w:val="0"/>
        <w:numId w:val="0"/>
      </w:numPr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right="0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right="0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LibreOffice/7.0.4.2$Windows_X86_64 LibreOffice_project/dcf040e67528d9187c66b2379df5ea4407429775</Application>
  <AppVersion>15.0000</AppVersion>
  <Pages>7</Pages>
  <Words>1125</Words>
  <Characters>4840</Characters>
  <CharactersWithSpaces>6488</CharactersWithSpaces>
  <Paragraphs>542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2021-02-04T11:29:13Z</cp:lastPrinted>
  <dcterms:modified xsi:type="dcterms:W3CDTF">2021-02-04T11:30:44Z</dcterms:modified>
  <cp:revision>21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