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Н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2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Промоција на туризмот и културата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2.930.563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1.040.748</w:t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2.050.243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1.040.748</w:t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29.661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14.334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955.798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753.453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411.949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287.295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638.501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880.320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880.320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2" w:name="SwXTextPosition8044"/>
            <w:bookmarkStart w:id="13" w:name="SwXTextPosition8044"/>
            <w:bookmarkEnd w:id="13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106"/>
            <w:bookmarkStart w:id="15" w:name="SwXTextPosition8106"/>
            <w:bookmarkEnd w:id="15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2.930.563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1.040.748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386.407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386.407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386.407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386.407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4.357.718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4.357.718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1.821.570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1.427.155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2.536.148</w:t>
            </w:r>
            <w:bookmarkStart w:id="16" w:name="_GoBack1"/>
            <w:bookmarkEnd w:id="16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  <w:bookmarkStart w:id="17" w:name="_GoBack"/>
            <w:bookmarkStart w:id="18" w:name="_GoBack"/>
            <w:bookmarkEnd w:id="18"/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4.357.718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4.357.718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26.02.2021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5</Pages>
  <Words>1194</Words>
  <Characters>5364</Characters>
  <CharactersWithSpaces>6633</CharactersWithSpaces>
  <Paragraphs>594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2021-01-27T09:28:38Z</cp:lastPrinted>
  <dcterms:modified xsi:type="dcterms:W3CDTF">2021-02-04T10:01:24Z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