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rPr>
          <w:rFonts w:ascii="Arial Narrow" w:hAnsi="Arial Narrow"/>
          <w:b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Агенција за вработување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         Лице одговорно за составување на билансот                  М.П.</w:t>
        <w:tab/>
        <w:t xml:space="preserve">   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8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bookmarkStart w:id="1" w:name="_GoBack"/>
      <w:bookmarkEnd w:id="1"/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 xml:space="preserve"> </w:t>
        <w:tab/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a7e84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7e84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1AEE-B972-4976-9282-3B177C9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7</Pages>
  <Words>1106</Words>
  <Characters>4816</Characters>
  <CharactersWithSpaces>6469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2021-01-27T08:57:28Z</cp:lastPrinted>
  <dcterms:modified xsi:type="dcterms:W3CDTF">2022-01-11T11:42:48Z</dcterms:modified>
  <cp:revision>16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