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2021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Промоција на туризмот и културата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386.407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 xml:space="preserve"> 28.02.2022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8AC-B3E1-4CA3-A188-28D05D4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LibreOffice/7.0.4.2$Windows_X86_64 LibreOffice_project/dcf040e67528d9187c66b2379df5ea4407429775</Application>
  <AppVersion>15.0000</AppVersion>
  <Pages>7</Pages>
  <Words>1127</Words>
  <Characters>4907</Characters>
  <CharactersWithSpaces>6539</CharactersWithSpaces>
  <Paragraphs>542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2022-02-08T15:26:07Z</cp:lastPrinted>
  <dcterms:modified xsi:type="dcterms:W3CDTF">2022-02-08T15:26:30Z</dcterms:modified>
  <cp:revision>23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