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0"/>
        <w:gridCol w:w="111"/>
        <w:gridCol w:w="228"/>
        <w:gridCol w:w="17"/>
        <w:gridCol w:w="251"/>
        <w:gridCol w:w="6"/>
        <w:gridCol w:w="243"/>
        <w:gridCol w:w="33"/>
        <w:gridCol w:w="217"/>
        <w:gridCol w:w="59"/>
        <w:gridCol w:w="194"/>
        <w:gridCol w:w="79"/>
        <w:gridCol w:w="168"/>
        <w:gridCol w:w="110"/>
        <w:gridCol w:w="143"/>
        <w:gridCol w:w="100"/>
        <w:gridCol w:w="388"/>
        <w:gridCol w:w="17"/>
        <w:gridCol w:w="408"/>
        <w:gridCol w:w="213"/>
        <w:gridCol w:w="23"/>
        <w:gridCol w:w="189"/>
        <w:gridCol w:w="64"/>
        <w:gridCol w:w="219"/>
        <w:gridCol w:w="56"/>
        <w:gridCol w:w="89"/>
        <w:gridCol w:w="280"/>
        <w:gridCol w:w="145"/>
        <w:gridCol w:w="280"/>
        <w:gridCol w:w="143"/>
        <w:gridCol w:w="183"/>
        <w:gridCol w:w="101"/>
        <w:gridCol w:w="426"/>
        <w:gridCol w:w="426"/>
        <w:gridCol w:w="425"/>
        <w:gridCol w:w="426"/>
        <w:gridCol w:w="426"/>
        <w:gridCol w:w="426"/>
        <w:gridCol w:w="425"/>
        <w:gridCol w:w="426"/>
        <w:gridCol w:w="425"/>
        <w:gridCol w:w="427"/>
        <w:gridCol w:w="41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6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0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Струмички Карневал-Струмица</w:t>
        <w:tab/>
        <w:tab/>
        <w:t xml:space="preserve">                                                                       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ул.Сандо Масев бр.1,Струмица 076-483-316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4027005145902 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</w:rPr>
        <w:t>31. 12.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Струмички Карневал-Струмица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3"/>
        <w:gridCol w:w="123"/>
        <w:gridCol w:w="1989"/>
        <w:gridCol w:w="15"/>
        <w:gridCol w:w="1682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</w:r>
          </w:p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4.917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4.917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4.917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  <w:lang w:val="mk-MK"/>
              </w:rPr>
            </w:pPr>
            <w:r>
              <w:rPr>
                <w:i w:val="false"/>
                <w:lang w:val="mk-MK"/>
              </w:rPr>
              <w:t>4.917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  <w:lang w:val="mk-MK"/>
              </w:rPr>
            </w:pPr>
            <w:r>
              <w:rPr>
                <w:i w:val="false"/>
                <w:lang w:val="mk-MK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  <w:lang w:val="mk-MK"/>
              </w:rPr>
            </w:pPr>
            <w:r>
              <w:rPr>
                <w:i w:val="false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51.000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21 000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21 000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25.917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25.917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25.917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51.000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51.000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21 000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4.917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4.917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25.917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         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28.02.2021 г 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8BC5-8C38-4694-92A0-51408237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LibreOffice/7.0.4.2$Windows_X86_64 LibreOffice_project/dcf040e67528d9187c66b2379df5ea4407429775</Application>
  <AppVersion>15.0000</AppVersion>
  <Pages>7</Pages>
  <Words>1123</Words>
  <Characters>4940</Characters>
  <CharactersWithSpaces>6725</CharactersWithSpaces>
  <Paragraphs>544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dcterms:modified xsi:type="dcterms:W3CDTF">2022-02-11T13:25:18Z</dcterms:modified>
  <cp:revision>16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