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>
          <w:rFonts w:ascii="StobiSerif Regular" w:hAnsi="StobiSerif Regular" w:eastAsia="Times New Roman" w:cs="StobiSerif Regular"/>
          <w:sz w:val="22"/>
          <w:szCs w:val="22"/>
          <w:lang w:val="en-US" w:eastAsia="ar-SA"/>
        </w:rPr>
      </w:pPr>
      <w:r>
        <w:rPr>
          <w:rFonts w:eastAsia="Times New Roman" w:cs="StobiSerif Regular" w:ascii="StobiSerif Regular" w:hAnsi="StobiSerif Regular"/>
          <w:sz w:val="22"/>
          <w:szCs w:val="22"/>
          <w:lang w:val="en-US" w:eastAsia="ar-SA"/>
        </w:rPr>
      </w:r>
    </w:p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ЈП за државни патишта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</w:rPr>
              <w:t>28.02.20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2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b6b4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6b4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6</Pages>
  <Words>1577</Words>
  <Characters>7604</Characters>
  <CharactersWithSpaces>8915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2022-01-11T09:29:06Z</cp:lastPrinted>
  <dcterms:modified xsi:type="dcterms:W3CDTF">2022-01-11T09:29:26Z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